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F2" w:rsidRDefault="00CE57F2" w:rsidP="00AC2FE9">
      <w:pPr>
        <w:jc w:val="both"/>
        <w:rPr>
          <w:b/>
        </w:rPr>
      </w:pPr>
      <w:bookmarkStart w:id="0" w:name="_GoBack"/>
      <w:bookmarkEnd w:id="0"/>
    </w:p>
    <w:p w:rsidR="00D95721" w:rsidRDefault="00D95721" w:rsidP="00AC2FE9">
      <w:pPr>
        <w:jc w:val="both"/>
        <w:rPr>
          <w:b/>
        </w:rPr>
      </w:pPr>
    </w:p>
    <w:p w:rsidR="00CE57F2" w:rsidRDefault="00CE57F2" w:rsidP="00AC2FE9">
      <w:pPr>
        <w:jc w:val="both"/>
        <w:rPr>
          <w:b/>
        </w:rPr>
      </w:pPr>
    </w:p>
    <w:p w:rsidR="00CE57F2" w:rsidRDefault="00CE57F2" w:rsidP="00AC2FE9">
      <w:pPr>
        <w:jc w:val="both"/>
        <w:rPr>
          <w:b/>
        </w:rPr>
      </w:pPr>
    </w:p>
    <w:p w:rsidR="00CE57F2" w:rsidRDefault="00CE57F2" w:rsidP="00AC2FE9">
      <w:pPr>
        <w:jc w:val="both"/>
        <w:rPr>
          <w:b/>
        </w:rPr>
      </w:pPr>
    </w:p>
    <w:p w:rsidR="00CE57F2" w:rsidRDefault="00CE57F2" w:rsidP="00AC2FE9">
      <w:pPr>
        <w:jc w:val="both"/>
        <w:rPr>
          <w:b/>
        </w:rPr>
      </w:pPr>
    </w:p>
    <w:p w:rsidR="00CE57F2" w:rsidRDefault="00CE57F2" w:rsidP="00AC2FE9">
      <w:pPr>
        <w:jc w:val="both"/>
        <w:rPr>
          <w:b/>
        </w:rPr>
      </w:pPr>
    </w:p>
    <w:p w:rsidR="00CE57F2" w:rsidRDefault="00CE57F2" w:rsidP="00AC2FE9">
      <w:pPr>
        <w:jc w:val="both"/>
        <w:rPr>
          <w:b/>
        </w:rPr>
      </w:pPr>
    </w:p>
    <w:p w:rsidR="00CE57F2" w:rsidRPr="00FF1A32" w:rsidRDefault="00FF1A32" w:rsidP="00494168">
      <w:pPr>
        <w:jc w:val="both"/>
        <w:rPr>
          <w:sz w:val="24"/>
        </w:rPr>
      </w:pPr>
      <w:r w:rsidRPr="006164DA">
        <w:rPr>
          <w:b/>
          <w:color w:val="365F91" w:themeColor="accent1" w:themeShade="BF"/>
          <w:sz w:val="32"/>
        </w:rPr>
        <w:t xml:space="preserve">INFORME DE AVANCE, </w:t>
      </w:r>
      <w:r w:rsidR="00494168">
        <w:rPr>
          <w:b/>
          <w:color w:val="365F91" w:themeColor="accent1" w:themeShade="BF"/>
          <w:sz w:val="32"/>
        </w:rPr>
        <w:t xml:space="preserve">DEL </w:t>
      </w:r>
      <w:r w:rsidR="00A03721">
        <w:rPr>
          <w:b/>
          <w:color w:val="365F91" w:themeColor="accent1" w:themeShade="BF"/>
          <w:sz w:val="32"/>
        </w:rPr>
        <w:t>SEGUNDO</w:t>
      </w:r>
      <w:r w:rsidRPr="006164DA">
        <w:rPr>
          <w:b/>
          <w:color w:val="365F91" w:themeColor="accent1" w:themeShade="BF"/>
          <w:sz w:val="32"/>
        </w:rPr>
        <w:t xml:space="preserve"> CUATRIMESTRE DEL CONVENIO DE CORRESPONSABILIDAD INTERNA PARA CONTRIBUIR ALCANZAR EL RESULTADO ESTRATEGICO DE PAIS </w:t>
      </w:r>
      <w:r w:rsidR="00494168">
        <w:rPr>
          <w:b/>
          <w:color w:val="365F91" w:themeColor="accent1" w:themeShade="BF"/>
          <w:sz w:val="32"/>
        </w:rPr>
        <w:t>-</w:t>
      </w:r>
      <w:r w:rsidRPr="006164DA">
        <w:rPr>
          <w:b/>
          <w:color w:val="365F91" w:themeColor="accent1" w:themeShade="BF"/>
          <w:sz w:val="32"/>
        </w:rPr>
        <w:t>REP</w:t>
      </w:r>
      <w:r w:rsidR="00494168">
        <w:rPr>
          <w:b/>
          <w:color w:val="365F91" w:themeColor="accent1" w:themeShade="BF"/>
          <w:sz w:val="32"/>
        </w:rPr>
        <w:t>-</w:t>
      </w:r>
      <w:r w:rsidRPr="006164DA">
        <w:rPr>
          <w:color w:val="365F91" w:themeColor="accent1" w:themeShade="BF"/>
          <w:sz w:val="32"/>
        </w:rPr>
        <w:t xml:space="preserve"> </w:t>
      </w:r>
      <w:r w:rsidRPr="00FF1A32">
        <w:rPr>
          <w:sz w:val="24"/>
        </w:rPr>
        <w:t>(En cumplimiento al artículo 14 de la Ley del Presupuesto General de Ingresos y Egresos del Estado para el ejercicio fiscal 2017, decreto 50-2016 del Congreso de la República de Guatemala)</w:t>
      </w:r>
    </w:p>
    <w:p w:rsidR="00CE57F2" w:rsidRDefault="00CE57F2" w:rsidP="00AC2FE9">
      <w:pPr>
        <w:jc w:val="both"/>
        <w:rPr>
          <w:b/>
        </w:rPr>
      </w:pPr>
    </w:p>
    <w:p w:rsidR="00FF1A32" w:rsidRDefault="00FF1A32" w:rsidP="00AC2FE9">
      <w:pPr>
        <w:jc w:val="both"/>
        <w:rPr>
          <w:b/>
        </w:rPr>
      </w:pPr>
    </w:p>
    <w:p w:rsidR="00FF1A32" w:rsidRDefault="00FF1A32" w:rsidP="00AC2FE9">
      <w:pPr>
        <w:jc w:val="both"/>
        <w:rPr>
          <w:b/>
        </w:rPr>
      </w:pPr>
    </w:p>
    <w:p w:rsidR="00FF1A32" w:rsidRDefault="00FF1A32" w:rsidP="00AC2FE9">
      <w:pPr>
        <w:jc w:val="both"/>
        <w:rPr>
          <w:b/>
        </w:rPr>
      </w:pPr>
    </w:p>
    <w:p w:rsidR="00FF1A32" w:rsidRDefault="00FF1A32" w:rsidP="00AC2FE9">
      <w:pPr>
        <w:jc w:val="both"/>
        <w:rPr>
          <w:b/>
        </w:rPr>
      </w:pPr>
    </w:p>
    <w:p w:rsidR="00FF1A32" w:rsidRDefault="00FF1A32" w:rsidP="00AC2FE9">
      <w:pPr>
        <w:jc w:val="both"/>
        <w:rPr>
          <w:b/>
        </w:rPr>
      </w:pPr>
    </w:p>
    <w:p w:rsidR="00FF1A32" w:rsidRDefault="00FF1A32" w:rsidP="00AC2FE9">
      <w:pPr>
        <w:jc w:val="both"/>
        <w:rPr>
          <w:b/>
        </w:rPr>
      </w:pPr>
    </w:p>
    <w:p w:rsidR="00CE57F2" w:rsidRDefault="00CE57F2" w:rsidP="00AC2FE9">
      <w:pPr>
        <w:jc w:val="both"/>
        <w:rPr>
          <w:b/>
        </w:rPr>
      </w:pPr>
    </w:p>
    <w:p w:rsidR="00CE57F2" w:rsidRDefault="00CE57F2" w:rsidP="00AC2FE9">
      <w:pPr>
        <w:jc w:val="both"/>
        <w:rPr>
          <w:b/>
        </w:rPr>
      </w:pPr>
    </w:p>
    <w:p w:rsidR="00CE57F2" w:rsidRDefault="00CE57F2"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494168" w:rsidRDefault="00494168" w:rsidP="00494168">
      <w:pPr>
        <w:jc w:val="center"/>
        <w:rPr>
          <w:b/>
          <w:color w:val="365F91" w:themeColor="accent1" w:themeShade="BF"/>
          <w:sz w:val="28"/>
        </w:rPr>
      </w:pPr>
    </w:p>
    <w:p w:rsidR="00494168" w:rsidRDefault="00494168" w:rsidP="00494168">
      <w:pPr>
        <w:jc w:val="center"/>
        <w:rPr>
          <w:b/>
          <w:color w:val="365F91" w:themeColor="accent1" w:themeShade="BF"/>
          <w:sz w:val="28"/>
        </w:rPr>
      </w:pPr>
    </w:p>
    <w:p w:rsidR="00DB4E56" w:rsidRPr="00494168" w:rsidRDefault="00494168" w:rsidP="00494168">
      <w:pPr>
        <w:jc w:val="center"/>
        <w:rPr>
          <w:b/>
          <w:color w:val="365F91" w:themeColor="accent1" w:themeShade="BF"/>
          <w:sz w:val="28"/>
        </w:rPr>
      </w:pPr>
      <w:r w:rsidRPr="00494168">
        <w:rPr>
          <w:b/>
          <w:color w:val="365F91" w:themeColor="accent1" w:themeShade="BF"/>
          <w:sz w:val="28"/>
        </w:rPr>
        <w:t>Índice</w:t>
      </w:r>
    </w:p>
    <w:sdt>
      <w:sdtPr>
        <w:rPr>
          <w:rFonts w:asciiTheme="minorHAnsi" w:eastAsiaTheme="minorHAnsi" w:hAnsiTheme="minorHAnsi" w:cstheme="minorBidi"/>
          <w:b w:val="0"/>
          <w:bCs w:val="0"/>
          <w:color w:val="auto"/>
          <w:sz w:val="22"/>
          <w:szCs w:val="22"/>
          <w:lang w:val="es-ES" w:eastAsia="en-US"/>
        </w:rPr>
        <w:id w:val="126682598"/>
        <w:docPartObj>
          <w:docPartGallery w:val="Table of Contents"/>
          <w:docPartUnique/>
        </w:docPartObj>
      </w:sdtPr>
      <w:sdtEndPr/>
      <w:sdtContent>
        <w:p w:rsidR="00494168" w:rsidRDefault="00494168">
          <w:pPr>
            <w:pStyle w:val="TtulodeTDC"/>
          </w:pPr>
        </w:p>
        <w:p w:rsidR="007A0EEE" w:rsidRDefault="00494168">
          <w:pPr>
            <w:pStyle w:val="TDC1"/>
            <w:tabs>
              <w:tab w:val="right" w:leader="dot" w:pos="8828"/>
            </w:tabs>
            <w:rPr>
              <w:rFonts w:eastAsiaTheme="minorEastAsia"/>
              <w:noProof/>
              <w:lang w:eastAsia="es-GT"/>
            </w:rPr>
          </w:pPr>
          <w:r>
            <w:fldChar w:fldCharType="begin"/>
          </w:r>
          <w:r>
            <w:instrText xml:space="preserve"> TOC \o "1-3" \h \z \u </w:instrText>
          </w:r>
          <w:r>
            <w:fldChar w:fldCharType="separate"/>
          </w:r>
          <w:hyperlink w:anchor="_Toc525136247" w:history="1">
            <w:r w:rsidR="007A0EEE" w:rsidRPr="000A772D">
              <w:rPr>
                <w:rStyle w:val="Hipervnculo"/>
                <w:noProof/>
              </w:rPr>
              <w:t>Introducción</w:t>
            </w:r>
            <w:r w:rsidR="007A0EEE">
              <w:rPr>
                <w:noProof/>
                <w:webHidden/>
              </w:rPr>
              <w:tab/>
            </w:r>
            <w:r w:rsidR="007A0EEE">
              <w:rPr>
                <w:noProof/>
                <w:webHidden/>
              </w:rPr>
              <w:fldChar w:fldCharType="begin"/>
            </w:r>
            <w:r w:rsidR="007A0EEE">
              <w:rPr>
                <w:noProof/>
                <w:webHidden/>
              </w:rPr>
              <w:instrText xml:space="preserve"> PAGEREF _Toc525136247 \h </w:instrText>
            </w:r>
            <w:r w:rsidR="007A0EEE">
              <w:rPr>
                <w:noProof/>
                <w:webHidden/>
              </w:rPr>
            </w:r>
            <w:r w:rsidR="007A0EEE">
              <w:rPr>
                <w:noProof/>
                <w:webHidden/>
              </w:rPr>
              <w:fldChar w:fldCharType="separate"/>
            </w:r>
            <w:r w:rsidR="007A0EEE">
              <w:rPr>
                <w:noProof/>
                <w:webHidden/>
              </w:rPr>
              <w:t>3</w:t>
            </w:r>
            <w:r w:rsidR="007A0EEE">
              <w:rPr>
                <w:noProof/>
                <w:webHidden/>
              </w:rPr>
              <w:fldChar w:fldCharType="end"/>
            </w:r>
          </w:hyperlink>
        </w:p>
        <w:p w:rsidR="007A0EEE" w:rsidRDefault="00FD70DE">
          <w:pPr>
            <w:pStyle w:val="TDC1"/>
            <w:tabs>
              <w:tab w:val="right" w:leader="dot" w:pos="8828"/>
            </w:tabs>
            <w:rPr>
              <w:rFonts w:eastAsiaTheme="minorEastAsia"/>
              <w:noProof/>
              <w:lang w:eastAsia="es-GT"/>
            </w:rPr>
          </w:pPr>
          <w:hyperlink w:anchor="_Toc525136248" w:history="1">
            <w:r w:rsidR="007A0EEE" w:rsidRPr="000A772D">
              <w:rPr>
                <w:rStyle w:val="Hipervnculo"/>
                <w:noProof/>
              </w:rPr>
              <w:t>Programación de productos y subproductos por cuatrimestre</w:t>
            </w:r>
            <w:r w:rsidR="007A0EEE">
              <w:rPr>
                <w:noProof/>
                <w:webHidden/>
              </w:rPr>
              <w:tab/>
            </w:r>
            <w:r w:rsidR="007A0EEE">
              <w:rPr>
                <w:noProof/>
                <w:webHidden/>
              </w:rPr>
              <w:fldChar w:fldCharType="begin"/>
            </w:r>
            <w:r w:rsidR="007A0EEE">
              <w:rPr>
                <w:noProof/>
                <w:webHidden/>
              </w:rPr>
              <w:instrText xml:space="preserve"> PAGEREF _Toc525136248 \h </w:instrText>
            </w:r>
            <w:r w:rsidR="007A0EEE">
              <w:rPr>
                <w:noProof/>
                <w:webHidden/>
              </w:rPr>
            </w:r>
            <w:r w:rsidR="007A0EEE">
              <w:rPr>
                <w:noProof/>
                <w:webHidden/>
              </w:rPr>
              <w:fldChar w:fldCharType="separate"/>
            </w:r>
            <w:r w:rsidR="007A0EEE">
              <w:rPr>
                <w:noProof/>
                <w:webHidden/>
              </w:rPr>
              <w:t>4</w:t>
            </w:r>
            <w:r w:rsidR="007A0EEE">
              <w:rPr>
                <w:noProof/>
                <w:webHidden/>
              </w:rPr>
              <w:fldChar w:fldCharType="end"/>
            </w:r>
          </w:hyperlink>
        </w:p>
        <w:p w:rsidR="007A0EEE" w:rsidRDefault="00FD70DE">
          <w:pPr>
            <w:pStyle w:val="TDC1"/>
            <w:tabs>
              <w:tab w:val="right" w:leader="dot" w:pos="8828"/>
            </w:tabs>
            <w:rPr>
              <w:rFonts w:eastAsiaTheme="minorEastAsia"/>
              <w:noProof/>
              <w:lang w:eastAsia="es-GT"/>
            </w:rPr>
          </w:pPr>
          <w:hyperlink w:anchor="_Toc525136249" w:history="1">
            <w:r w:rsidR="007A0EEE" w:rsidRPr="000A772D">
              <w:rPr>
                <w:rStyle w:val="Hipervnculo"/>
                <w:noProof/>
              </w:rPr>
              <w:t>Ejecución financiera del segundo cuatrimestre</w:t>
            </w:r>
            <w:r w:rsidR="007A0EEE">
              <w:rPr>
                <w:noProof/>
                <w:webHidden/>
              </w:rPr>
              <w:tab/>
            </w:r>
            <w:r w:rsidR="007A0EEE">
              <w:rPr>
                <w:noProof/>
                <w:webHidden/>
              </w:rPr>
              <w:fldChar w:fldCharType="begin"/>
            </w:r>
            <w:r w:rsidR="007A0EEE">
              <w:rPr>
                <w:noProof/>
                <w:webHidden/>
              </w:rPr>
              <w:instrText xml:space="preserve"> PAGEREF _Toc525136249 \h </w:instrText>
            </w:r>
            <w:r w:rsidR="007A0EEE">
              <w:rPr>
                <w:noProof/>
                <w:webHidden/>
              </w:rPr>
            </w:r>
            <w:r w:rsidR="007A0EEE">
              <w:rPr>
                <w:noProof/>
                <w:webHidden/>
              </w:rPr>
              <w:fldChar w:fldCharType="separate"/>
            </w:r>
            <w:r w:rsidR="007A0EEE">
              <w:rPr>
                <w:noProof/>
                <w:webHidden/>
              </w:rPr>
              <w:t>5</w:t>
            </w:r>
            <w:r w:rsidR="007A0EEE">
              <w:rPr>
                <w:noProof/>
                <w:webHidden/>
              </w:rPr>
              <w:fldChar w:fldCharType="end"/>
            </w:r>
          </w:hyperlink>
        </w:p>
        <w:p w:rsidR="007A0EEE" w:rsidRDefault="00FD70DE">
          <w:pPr>
            <w:pStyle w:val="TDC1"/>
            <w:tabs>
              <w:tab w:val="right" w:leader="dot" w:pos="8828"/>
            </w:tabs>
            <w:rPr>
              <w:rFonts w:eastAsiaTheme="minorEastAsia"/>
              <w:noProof/>
              <w:lang w:eastAsia="es-GT"/>
            </w:rPr>
          </w:pPr>
          <w:hyperlink w:anchor="_Toc525136250" w:history="1">
            <w:r w:rsidR="007A0EEE" w:rsidRPr="000A772D">
              <w:rPr>
                <w:rStyle w:val="Hipervnculo"/>
                <w:noProof/>
              </w:rPr>
              <w:t>Ejecución financiera acumulada al 31 de agosto 2018.</w:t>
            </w:r>
            <w:r w:rsidR="007A0EEE">
              <w:rPr>
                <w:noProof/>
                <w:webHidden/>
              </w:rPr>
              <w:tab/>
            </w:r>
            <w:r w:rsidR="007A0EEE">
              <w:rPr>
                <w:noProof/>
                <w:webHidden/>
              </w:rPr>
              <w:fldChar w:fldCharType="begin"/>
            </w:r>
            <w:r w:rsidR="007A0EEE">
              <w:rPr>
                <w:noProof/>
                <w:webHidden/>
              </w:rPr>
              <w:instrText xml:space="preserve"> PAGEREF _Toc525136250 \h </w:instrText>
            </w:r>
            <w:r w:rsidR="007A0EEE">
              <w:rPr>
                <w:noProof/>
                <w:webHidden/>
              </w:rPr>
            </w:r>
            <w:r w:rsidR="007A0EEE">
              <w:rPr>
                <w:noProof/>
                <w:webHidden/>
              </w:rPr>
              <w:fldChar w:fldCharType="separate"/>
            </w:r>
            <w:r w:rsidR="007A0EEE">
              <w:rPr>
                <w:noProof/>
                <w:webHidden/>
              </w:rPr>
              <w:t>6</w:t>
            </w:r>
            <w:r w:rsidR="007A0EEE">
              <w:rPr>
                <w:noProof/>
                <w:webHidden/>
              </w:rPr>
              <w:fldChar w:fldCharType="end"/>
            </w:r>
          </w:hyperlink>
        </w:p>
        <w:p w:rsidR="007A0EEE" w:rsidRDefault="00FD70DE">
          <w:pPr>
            <w:pStyle w:val="TDC1"/>
            <w:tabs>
              <w:tab w:val="right" w:leader="dot" w:pos="8828"/>
            </w:tabs>
            <w:rPr>
              <w:rFonts w:eastAsiaTheme="minorEastAsia"/>
              <w:noProof/>
              <w:lang w:eastAsia="es-GT"/>
            </w:rPr>
          </w:pPr>
          <w:hyperlink w:anchor="_Toc525136251" w:history="1">
            <w:r w:rsidR="007A0EEE" w:rsidRPr="000A772D">
              <w:rPr>
                <w:rStyle w:val="Hipervnculo"/>
                <w:noProof/>
              </w:rPr>
              <w:t>Conclusiones</w:t>
            </w:r>
            <w:r w:rsidR="007A0EEE">
              <w:rPr>
                <w:noProof/>
                <w:webHidden/>
              </w:rPr>
              <w:tab/>
            </w:r>
            <w:r w:rsidR="007A0EEE">
              <w:rPr>
                <w:noProof/>
                <w:webHidden/>
              </w:rPr>
              <w:fldChar w:fldCharType="begin"/>
            </w:r>
            <w:r w:rsidR="007A0EEE">
              <w:rPr>
                <w:noProof/>
                <w:webHidden/>
              </w:rPr>
              <w:instrText xml:space="preserve"> PAGEREF _Toc525136251 \h </w:instrText>
            </w:r>
            <w:r w:rsidR="007A0EEE">
              <w:rPr>
                <w:noProof/>
                <w:webHidden/>
              </w:rPr>
            </w:r>
            <w:r w:rsidR="007A0EEE">
              <w:rPr>
                <w:noProof/>
                <w:webHidden/>
              </w:rPr>
              <w:fldChar w:fldCharType="separate"/>
            </w:r>
            <w:r w:rsidR="007A0EEE">
              <w:rPr>
                <w:noProof/>
                <w:webHidden/>
              </w:rPr>
              <w:t>7</w:t>
            </w:r>
            <w:r w:rsidR="007A0EEE">
              <w:rPr>
                <w:noProof/>
                <w:webHidden/>
              </w:rPr>
              <w:fldChar w:fldCharType="end"/>
            </w:r>
          </w:hyperlink>
        </w:p>
        <w:p w:rsidR="00494168" w:rsidRDefault="00494168">
          <w:r>
            <w:rPr>
              <w:b/>
              <w:bCs/>
              <w:lang w:val="es-ES"/>
            </w:rPr>
            <w:fldChar w:fldCharType="end"/>
          </w:r>
        </w:p>
      </w:sdtContent>
    </w:sdt>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DB4E56" w:rsidRDefault="00DB4E56" w:rsidP="00AC2FE9">
      <w:pPr>
        <w:jc w:val="both"/>
        <w:rPr>
          <w:b/>
        </w:rPr>
      </w:pPr>
    </w:p>
    <w:p w:rsidR="00F21CE8" w:rsidRDefault="00F21CE8" w:rsidP="00AC2FE9">
      <w:pPr>
        <w:jc w:val="both"/>
        <w:rPr>
          <w:b/>
        </w:rPr>
      </w:pPr>
    </w:p>
    <w:p w:rsidR="00F21CE8" w:rsidRDefault="00F21CE8" w:rsidP="006164DA">
      <w:pPr>
        <w:pStyle w:val="Ttulo1"/>
      </w:pPr>
      <w:bookmarkStart w:id="1" w:name="_Toc525136247"/>
      <w:r w:rsidRPr="006164DA">
        <w:t>Introducción</w:t>
      </w:r>
      <w:bookmarkEnd w:id="1"/>
    </w:p>
    <w:p w:rsidR="006164DA" w:rsidRPr="006164DA" w:rsidRDefault="006164DA" w:rsidP="006164DA"/>
    <w:p w:rsidR="00F21CE8" w:rsidRPr="00DB4E56" w:rsidRDefault="00D168D0" w:rsidP="00AC2FE9">
      <w:pPr>
        <w:jc w:val="both"/>
      </w:pPr>
      <w:r w:rsidRPr="00DB4E56">
        <w:t>El presente informe de avance se realiza con el objeto de</w:t>
      </w:r>
      <w:r w:rsidR="00DB4E56" w:rsidRPr="00DB4E56">
        <w:t xml:space="preserve"> dar </w:t>
      </w:r>
      <w:r w:rsidR="006164DA">
        <w:t xml:space="preserve">seguimiento a la ejecución </w:t>
      </w:r>
      <w:r w:rsidRPr="00DB4E56">
        <w:t xml:space="preserve">de los productos y subproductos programados, </w:t>
      </w:r>
      <w:r w:rsidR="009D04C5">
        <w:t xml:space="preserve">en el </w:t>
      </w:r>
      <w:r w:rsidRPr="00DB4E56">
        <w:t>subprograma 1 “Prevención de la Desnutrición Crónica” con el objeto de poder detectar a tiempo el resultado de la ejecución de las metas físicas planificadas</w:t>
      </w:r>
      <w:r w:rsidR="006164DA">
        <w:t xml:space="preserve"> </w:t>
      </w:r>
      <w:r w:rsidR="00A03721">
        <w:t>para el segundo cuatrimestre</w:t>
      </w:r>
      <w:r w:rsidR="0051700D">
        <w:t xml:space="preserve"> </w:t>
      </w:r>
      <w:r w:rsidR="006164DA">
        <w:t xml:space="preserve">asimismo, </w:t>
      </w:r>
      <w:r w:rsidRPr="00DB4E56">
        <w:t xml:space="preserve">muestra </w:t>
      </w:r>
      <w:r w:rsidR="009D04C5">
        <w:t xml:space="preserve">el porcentaje de avance </w:t>
      </w:r>
      <w:r w:rsidR="006164DA">
        <w:t>financiero</w:t>
      </w:r>
      <w:r w:rsidR="00A03721">
        <w:t>.</w:t>
      </w:r>
    </w:p>
    <w:p w:rsidR="00F21CE8" w:rsidRPr="00DB4E56" w:rsidRDefault="00F21CE8" w:rsidP="00AC2FE9">
      <w:pPr>
        <w:jc w:val="both"/>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F21CE8" w:rsidRDefault="00F21CE8" w:rsidP="00AC2FE9">
      <w:pPr>
        <w:jc w:val="both"/>
        <w:rPr>
          <w:b/>
        </w:rPr>
      </w:pPr>
    </w:p>
    <w:p w:rsidR="00E47DA8" w:rsidRDefault="00E47DA8" w:rsidP="00AC2FE9">
      <w:pPr>
        <w:jc w:val="both"/>
        <w:rPr>
          <w:b/>
        </w:rPr>
      </w:pPr>
    </w:p>
    <w:p w:rsidR="00AA02A2" w:rsidRPr="002561A7" w:rsidRDefault="00AA02A2" w:rsidP="00AC2FE9">
      <w:pPr>
        <w:jc w:val="both"/>
        <w:rPr>
          <w:b/>
        </w:rPr>
      </w:pPr>
      <w:r w:rsidRPr="002561A7">
        <w:rPr>
          <w:b/>
        </w:rPr>
        <w:t xml:space="preserve"> </w:t>
      </w:r>
      <w:r w:rsidR="00631986">
        <w:rPr>
          <w:b/>
        </w:rPr>
        <w:t>In</w:t>
      </w:r>
      <w:r w:rsidRPr="002561A7">
        <w:rPr>
          <w:b/>
        </w:rPr>
        <w:t xml:space="preserve">forme </w:t>
      </w:r>
      <w:r w:rsidR="00890516">
        <w:rPr>
          <w:b/>
        </w:rPr>
        <w:t xml:space="preserve">de avance </w:t>
      </w:r>
      <w:r w:rsidR="00AB5825">
        <w:rPr>
          <w:b/>
        </w:rPr>
        <w:t xml:space="preserve">del </w:t>
      </w:r>
      <w:r w:rsidR="00596B27">
        <w:rPr>
          <w:b/>
        </w:rPr>
        <w:t>segundo</w:t>
      </w:r>
      <w:r w:rsidR="00AB5825">
        <w:rPr>
          <w:b/>
        </w:rPr>
        <w:t xml:space="preserve"> cuatrimestre </w:t>
      </w:r>
      <w:r w:rsidRPr="002561A7">
        <w:rPr>
          <w:b/>
        </w:rPr>
        <w:t xml:space="preserve">del convenio de corresponsabilidad interna, para contribuir a alcanzar el Resultado </w:t>
      </w:r>
      <w:r w:rsidR="00AC2FE9" w:rsidRPr="002561A7">
        <w:rPr>
          <w:b/>
        </w:rPr>
        <w:t>Estratégico</w:t>
      </w:r>
      <w:r w:rsidRPr="002561A7">
        <w:rPr>
          <w:b/>
        </w:rPr>
        <w:t xml:space="preserve"> de </w:t>
      </w:r>
      <w:r w:rsidR="00AC2FE9" w:rsidRPr="002561A7">
        <w:rPr>
          <w:b/>
        </w:rPr>
        <w:t>País</w:t>
      </w:r>
      <w:r w:rsidRPr="002561A7">
        <w:rPr>
          <w:b/>
        </w:rPr>
        <w:t xml:space="preserve"> “En 2019 se habrá reducido la desnutrición crónica en 10 puntos porcentuales en niños menores de dos años, con prioridad en la niñez indígena y de áreas rurales”.</w:t>
      </w:r>
    </w:p>
    <w:p w:rsidR="00AF4CB7" w:rsidRDefault="002561A7" w:rsidP="00AC2FE9">
      <w:pPr>
        <w:jc w:val="both"/>
      </w:pPr>
      <w:r>
        <w:t>El</w:t>
      </w:r>
      <w:r w:rsidR="003C0B01">
        <w:t xml:space="preserve"> </w:t>
      </w:r>
      <w:r>
        <w:t xml:space="preserve"> convenio</w:t>
      </w:r>
      <w:r w:rsidR="00AA02A2">
        <w:t xml:space="preserve"> tiene como objeto garantizar la coordinación interna para la prestación de los biene</w:t>
      </w:r>
      <w:r w:rsidR="00C61E4B">
        <w:t xml:space="preserve">s y servicios que contribuyen a </w:t>
      </w:r>
      <w:r w:rsidR="00AA02A2">
        <w:t>alcanzar e</w:t>
      </w:r>
      <w:r w:rsidR="00C61E4B">
        <w:t>l Resultado Estratégico de País</w:t>
      </w:r>
      <w:r w:rsidR="00AA02A2">
        <w:t xml:space="preserve"> </w:t>
      </w:r>
      <w:r w:rsidR="00C61E4B">
        <w:t xml:space="preserve">-REP-, </w:t>
      </w:r>
      <w:r w:rsidR="00840845">
        <w:t>prioridad</w:t>
      </w:r>
      <w:r w:rsidR="004061DB">
        <w:t xml:space="preserve"> No. 2</w:t>
      </w:r>
      <w:r w:rsidR="00C61E4B">
        <w:t>:</w:t>
      </w:r>
      <w:r w:rsidR="004061DB">
        <w:t xml:space="preserve"> “Seguridad alimentaria</w:t>
      </w:r>
      <w:r w:rsidR="008035AA">
        <w:t xml:space="preserve"> y nutricional</w:t>
      </w:r>
      <w:r w:rsidR="004061DB">
        <w:t>, salud integral y educación de calidad”</w:t>
      </w:r>
      <w:r w:rsidR="008035AA">
        <w:t xml:space="preserve"> y la meta número 2</w:t>
      </w:r>
      <w:r w:rsidR="00C61E4B">
        <w:t>:</w:t>
      </w:r>
      <w:r w:rsidR="008035AA">
        <w:t xml:space="preserve"> </w:t>
      </w:r>
      <w:r w:rsidR="004061DB" w:rsidRPr="004061DB">
        <w:t>“</w:t>
      </w:r>
      <w:r w:rsidR="00D704D5">
        <w:t xml:space="preserve">en </w:t>
      </w:r>
      <w:r w:rsidR="004061DB" w:rsidRPr="004061DB">
        <w:t xml:space="preserve">2019 </w:t>
      </w:r>
      <w:r w:rsidR="00D704D5">
        <w:t xml:space="preserve">se habrá </w:t>
      </w:r>
      <w:r w:rsidR="004061DB" w:rsidRPr="004061DB">
        <w:t>reduci</w:t>
      </w:r>
      <w:r w:rsidR="00D704D5">
        <w:t xml:space="preserve">do la desnutrición crónica </w:t>
      </w:r>
      <w:r w:rsidR="004061DB" w:rsidRPr="004061DB">
        <w:t>en 10 puntos porcentuales la desnutrición crónica al 2019, en niños menores de dos años,</w:t>
      </w:r>
      <w:r w:rsidR="00D704D5">
        <w:t xml:space="preserve"> con prioridad en la niñez indígena y de áreas rurales”</w:t>
      </w:r>
      <w:r w:rsidR="004061DB" w:rsidRPr="004061DB">
        <w:t xml:space="preserve"> </w:t>
      </w:r>
    </w:p>
    <w:p w:rsidR="00AF4CB7" w:rsidRDefault="00AF4CB7" w:rsidP="00AC2FE9">
      <w:pPr>
        <w:jc w:val="both"/>
      </w:pPr>
      <w:r>
        <w:t>E</w:t>
      </w:r>
      <w:r w:rsidR="00840845" w:rsidRPr="00840845">
        <w:t>s por eso que la SESAN vinculó dentro de su estructura programática</w:t>
      </w:r>
      <w:r w:rsidR="00840845">
        <w:t xml:space="preserve"> programa 54 </w:t>
      </w:r>
      <w:r w:rsidRPr="00AF4CB7">
        <w:t>“Asuntos de Seguridad Alimentaria y Nutricional</w:t>
      </w:r>
      <w:r>
        <w:t>”</w:t>
      </w:r>
      <w:r w:rsidR="00C61E4B">
        <w:t>,</w:t>
      </w:r>
      <w:r w:rsidR="000712BE">
        <w:t xml:space="preserve"> </w:t>
      </w:r>
      <w:r w:rsidR="00840845" w:rsidRPr="00840845">
        <w:t xml:space="preserve">el subprograma 1 “Prevención de la Desnutrición Crónica” </w:t>
      </w:r>
      <w:r w:rsidR="00F466D9">
        <w:t xml:space="preserve">con </w:t>
      </w:r>
      <w:r w:rsidR="008035AA">
        <w:t xml:space="preserve">dos productos </w:t>
      </w:r>
      <w:r w:rsidR="00F466D9">
        <w:t xml:space="preserve">y </w:t>
      </w:r>
      <w:r w:rsidR="008035AA">
        <w:t xml:space="preserve">cuatro subproductos tomando en cuenta </w:t>
      </w:r>
      <w:r>
        <w:t xml:space="preserve">la metodología de Gestión por resultados </w:t>
      </w:r>
      <w:r w:rsidR="008035AA">
        <w:t>que da el Ministerio de Finanzas Públicas</w:t>
      </w:r>
      <w:r w:rsidR="00840845" w:rsidRPr="00840845">
        <w:t xml:space="preserve">; </w:t>
      </w:r>
      <w:r w:rsidRPr="00AF4CB7">
        <w:t>la programación se dividió en tres cuatrimestres, programando la</w:t>
      </w:r>
      <w:r w:rsidR="00037640">
        <w:t xml:space="preserve"> mayor </w:t>
      </w:r>
      <w:r w:rsidRPr="00AF4CB7">
        <w:t>ejecución para los dos últimos</w:t>
      </w:r>
      <w:r w:rsidR="008035AA">
        <w:t>,</w:t>
      </w:r>
      <w:r w:rsidRPr="00AF4CB7">
        <w:t xml:space="preserve"> como se muestra en el </w:t>
      </w:r>
      <w:r w:rsidR="00D95721">
        <w:t>cuadro número 1.</w:t>
      </w:r>
    </w:p>
    <w:p w:rsidR="00490D0C" w:rsidRDefault="00490D0C" w:rsidP="00490D0C">
      <w:pPr>
        <w:pStyle w:val="Ttulo1"/>
      </w:pPr>
      <w:bookmarkStart w:id="2" w:name="_Toc525136248"/>
      <w:r>
        <w:t>Programación de productos y subproductos por cuatrimestre</w:t>
      </w:r>
      <w:bookmarkEnd w:id="2"/>
      <w:r>
        <w:t xml:space="preserve"> </w:t>
      </w:r>
    </w:p>
    <w:p w:rsidR="00754792" w:rsidRPr="00754792" w:rsidRDefault="00754792" w:rsidP="00754792"/>
    <w:p w:rsidR="00E436EB" w:rsidRDefault="00754792" w:rsidP="00754792">
      <w:r w:rsidRPr="00E436EB">
        <w:rPr>
          <w:noProof/>
          <w:lang w:eastAsia="es-GT"/>
        </w:rPr>
        <w:drawing>
          <wp:anchor distT="0" distB="0" distL="114300" distR="114300" simplePos="0" relativeHeight="251665408" behindDoc="0" locked="0" layoutInCell="1" allowOverlap="1" wp14:anchorId="55858320" wp14:editId="7E0441DB">
            <wp:simplePos x="0" y="0"/>
            <wp:positionH relativeFrom="column">
              <wp:posOffset>-203835</wp:posOffset>
            </wp:positionH>
            <wp:positionV relativeFrom="paragraph">
              <wp:posOffset>385445</wp:posOffset>
            </wp:positionV>
            <wp:extent cx="5905500" cy="24955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FCC">
        <w:t>Cuadro 1</w:t>
      </w:r>
      <w:r w:rsidR="008A1F89">
        <w:t>. P</w:t>
      </w:r>
      <w:r w:rsidR="00B04FCC">
        <w:t>rogramación productos/subproductos</w:t>
      </w:r>
      <w:r w:rsidR="000209A8">
        <w:t xml:space="preserve"> del subprograma 1</w:t>
      </w:r>
    </w:p>
    <w:p w:rsidR="00E436EB" w:rsidRDefault="00E436EB" w:rsidP="00AC2FE9">
      <w:pPr>
        <w:jc w:val="both"/>
      </w:pPr>
    </w:p>
    <w:p w:rsidR="009A35AD" w:rsidRPr="001A2B1C" w:rsidRDefault="009A35AD" w:rsidP="00AC2FE9">
      <w:pPr>
        <w:jc w:val="both"/>
        <w:rPr>
          <w:sz w:val="20"/>
        </w:rPr>
      </w:pPr>
      <w:r w:rsidRPr="001A2B1C">
        <w:rPr>
          <w:sz w:val="20"/>
        </w:rPr>
        <w:t xml:space="preserve">Fuente: SICOIN, Elaboración SESAN </w:t>
      </w:r>
    </w:p>
    <w:p w:rsidR="00DB4E56" w:rsidRDefault="006E1873" w:rsidP="00AC2FE9">
      <w:pPr>
        <w:jc w:val="both"/>
      </w:pPr>
      <w:r>
        <w:lastRenderedPageBreak/>
        <w:t xml:space="preserve">De acuerdo con el cuadro número 1, </w:t>
      </w:r>
      <w:r w:rsidR="00754792">
        <w:t xml:space="preserve">de los dos subproductos programados para el segundo cuatrimestre, </w:t>
      </w:r>
      <w:r w:rsidR="00E761CB">
        <w:t>“</w:t>
      </w:r>
      <w:r w:rsidR="00E761CB" w:rsidRPr="00E761CB">
        <w:t>Informe de reuniones de la Comisión Presidencial para la Reducción de la Desnutrición Crónica.</w:t>
      </w:r>
      <w:r w:rsidR="00E761CB">
        <w:t>”  Se cumplió con lo programado  como medio de verificación se cuenta con las dos actas de las reuniones ordinarias de la Comisión Presidencial para la Reducción de la Desnutrición Crónica del año 2018, Y para el subproducto “</w:t>
      </w:r>
      <w:r w:rsidR="00E761CB" w:rsidRPr="00E761CB">
        <w:t>Personas de instituciones capacitadas en atención y prevención de la desnutrición crónica</w:t>
      </w:r>
      <w:r w:rsidR="00E761CB">
        <w:t xml:space="preserve">” </w:t>
      </w:r>
      <w:r w:rsidR="00754792">
        <w:t xml:space="preserve">se </w:t>
      </w:r>
      <w:r w:rsidR="00E761CB">
        <w:t>cumplió</w:t>
      </w:r>
      <w:r w:rsidR="00754792">
        <w:t xml:space="preserve"> con </w:t>
      </w:r>
      <w:r w:rsidR="00C62A67">
        <w:t>lo programado y como medio de verificación se cuenta con los listados de</w:t>
      </w:r>
      <w:r w:rsidR="00553E81">
        <w:t xml:space="preserve"> </w:t>
      </w:r>
      <w:r w:rsidR="00C62A67">
        <w:t>las personas capacitadas</w:t>
      </w:r>
      <w:r w:rsidR="00F959C4">
        <w:t>.</w:t>
      </w:r>
    </w:p>
    <w:p w:rsidR="00C87DB5" w:rsidRDefault="000F4ECC" w:rsidP="00ED6242">
      <w:pPr>
        <w:jc w:val="both"/>
      </w:pPr>
      <w:r>
        <w:t xml:space="preserve"> </w:t>
      </w:r>
      <w:r w:rsidR="000A65D6">
        <w:t xml:space="preserve">Asimismo, se </w:t>
      </w:r>
      <w:r w:rsidR="00553E81">
        <w:t xml:space="preserve">sigue con el </w:t>
      </w:r>
      <w:r w:rsidR="000A65D6">
        <w:t xml:space="preserve">avance en las actividades </w:t>
      </w:r>
      <w:r w:rsidR="00F21CE8">
        <w:t xml:space="preserve">de los subproductos programados </w:t>
      </w:r>
      <w:r w:rsidR="00553E81">
        <w:t xml:space="preserve">para el tercer  </w:t>
      </w:r>
      <w:r w:rsidR="00F959C4">
        <w:t>cuatrimestre</w:t>
      </w:r>
      <w:r w:rsidR="00BC2BA5">
        <w:t xml:space="preserve"> ya que es en este donde está </w:t>
      </w:r>
      <w:r w:rsidR="00371048">
        <w:t xml:space="preserve">programada </w:t>
      </w:r>
      <w:r w:rsidR="00BC2BA5" w:rsidRPr="00BC2BA5">
        <w:t>la mayor ejecución, como se muestra en el cuadro número 1.</w:t>
      </w:r>
      <w:r w:rsidR="00BC2BA5">
        <w:t xml:space="preserve"> </w:t>
      </w:r>
      <w:r w:rsidR="00F959C4">
        <w:t xml:space="preserve"> </w:t>
      </w:r>
      <w:r w:rsidR="00BC2BA5">
        <w:t xml:space="preserve">Asimismo </w:t>
      </w:r>
      <w:r w:rsidR="00ED6242">
        <w:t>p</w:t>
      </w:r>
      <w:r w:rsidR="00ED6242" w:rsidRPr="00ED6242">
        <w:t>ara el subproducto “</w:t>
      </w:r>
      <w:r w:rsidR="00BC2BA5" w:rsidRPr="00BC2BA5">
        <w:t>Informe de avance de la Estrategia Nacional para la Prevención de la Desnutrición Crónica para la Comisión Presidencial para la Reducción de la Desnutrición Crónica.</w:t>
      </w:r>
      <w:r w:rsidR="00ED6242" w:rsidRPr="00ED6242">
        <w:t>”,</w:t>
      </w:r>
      <w:r w:rsidR="00ED6242">
        <w:t xml:space="preserve"> </w:t>
      </w:r>
      <w:r w:rsidR="00C87DB5">
        <w:t xml:space="preserve">los delegados están trabajando en su informe de cada uno de los municipios de la fase II de la  estrategia </w:t>
      </w:r>
      <w:r w:rsidR="00C87DB5" w:rsidRPr="00C87DB5">
        <w:t>(San Marcos, Totonicapán y Sololá)</w:t>
      </w:r>
      <w:r w:rsidR="00371048">
        <w:t xml:space="preserve"> programados para el tercer cuatrimestre</w:t>
      </w:r>
      <w:r w:rsidR="00C87DB5">
        <w:t>.</w:t>
      </w:r>
    </w:p>
    <w:p w:rsidR="00F21CE8" w:rsidRDefault="008C0E68" w:rsidP="00AC2FE9">
      <w:pPr>
        <w:jc w:val="both"/>
        <w:rPr>
          <w:b/>
          <w:sz w:val="24"/>
        </w:rPr>
      </w:pPr>
      <w:r>
        <w:t xml:space="preserve">En el </w:t>
      </w:r>
      <w:r w:rsidR="00F7559C">
        <w:t xml:space="preserve">segundo </w:t>
      </w:r>
      <w:r>
        <w:t xml:space="preserve"> cuatrimestre e</w:t>
      </w:r>
      <w:r w:rsidR="00F959C4">
        <w:t xml:space="preserve">l avance de ejecución </w:t>
      </w:r>
      <w:r w:rsidR="005009C4">
        <w:t xml:space="preserve">física </w:t>
      </w:r>
      <w:r w:rsidR="00F959C4">
        <w:t xml:space="preserve">del subprograma 1 </w:t>
      </w:r>
      <w:r w:rsidR="005009C4">
        <w:t>ha sido ejecutado en un 100%</w:t>
      </w:r>
      <w:r>
        <w:t xml:space="preserve">, ya que se </w:t>
      </w:r>
      <w:r w:rsidR="00124332">
        <w:t xml:space="preserve"> ha </w:t>
      </w:r>
      <w:r w:rsidR="00C51415">
        <w:t xml:space="preserve"> cumplido con </w:t>
      </w:r>
      <w:r w:rsidR="00F7559C">
        <w:t xml:space="preserve">los </w:t>
      </w:r>
      <w:r w:rsidR="00124332">
        <w:t>subproducto</w:t>
      </w:r>
      <w:r w:rsidR="00F7559C">
        <w:t>s</w:t>
      </w:r>
      <w:r w:rsidR="00124332">
        <w:t xml:space="preserve"> programado</w:t>
      </w:r>
      <w:r w:rsidR="00F7559C">
        <w:t>s</w:t>
      </w:r>
      <w:r w:rsidR="00124332">
        <w:t xml:space="preserve"> </w:t>
      </w:r>
      <w:r w:rsidR="00371048">
        <w:t>en el cuatrimestre.</w:t>
      </w:r>
    </w:p>
    <w:p w:rsidR="00597D92" w:rsidRPr="009E548D" w:rsidRDefault="00DE32B2" w:rsidP="00AC2FE9">
      <w:pPr>
        <w:jc w:val="both"/>
        <w:rPr>
          <w:b/>
          <w:sz w:val="24"/>
        </w:rPr>
      </w:pPr>
      <w:bookmarkStart w:id="3" w:name="_Toc525136249"/>
      <w:r w:rsidRPr="00490D0C">
        <w:rPr>
          <w:rStyle w:val="Ttulo1Car"/>
        </w:rPr>
        <w:t xml:space="preserve">Ejecución financiera del </w:t>
      </w:r>
      <w:r w:rsidR="00F7559C">
        <w:rPr>
          <w:rStyle w:val="Ttulo1Car"/>
        </w:rPr>
        <w:t>segundo</w:t>
      </w:r>
      <w:r w:rsidRPr="00490D0C">
        <w:rPr>
          <w:rStyle w:val="Ttulo1Car"/>
        </w:rPr>
        <w:t xml:space="preserve"> cuatrimestre</w:t>
      </w:r>
      <w:bookmarkEnd w:id="3"/>
      <w:r w:rsidRPr="009E548D">
        <w:rPr>
          <w:b/>
          <w:sz w:val="24"/>
        </w:rPr>
        <w:t>.</w:t>
      </w:r>
    </w:p>
    <w:p w:rsidR="00B34188" w:rsidRDefault="00C20AAD" w:rsidP="00AC2FE9">
      <w:pPr>
        <w:jc w:val="both"/>
      </w:pPr>
      <w:r>
        <w:t>P</w:t>
      </w:r>
      <w:r w:rsidR="00B61AEC">
        <w:t xml:space="preserve">ara el logro de los productos y subproductos </w:t>
      </w:r>
      <w:r w:rsidR="004B6A0E">
        <w:t xml:space="preserve">programados en el segundo </w:t>
      </w:r>
      <w:r w:rsidR="00371048">
        <w:t>cuatrimestre</w:t>
      </w:r>
      <w:r w:rsidR="004B6A0E">
        <w:t xml:space="preserve"> se realizaron a</w:t>
      </w:r>
      <w:r w:rsidR="009C1001" w:rsidRPr="009E548D">
        <w:t xml:space="preserve">ctividades </w:t>
      </w:r>
      <w:r w:rsidR="008F093D">
        <w:t xml:space="preserve">en cada subproducto </w:t>
      </w:r>
      <w:r w:rsidR="00783E46">
        <w:t xml:space="preserve">programado, </w:t>
      </w:r>
      <w:r w:rsidR="00B34188">
        <w:t xml:space="preserve">para la ejecución de las actividades se </w:t>
      </w:r>
      <w:r w:rsidR="00783E46">
        <w:t>requirió recursos financieros</w:t>
      </w:r>
      <w:r w:rsidR="00B34188">
        <w:t>.</w:t>
      </w:r>
    </w:p>
    <w:p w:rsidR="0007703B" w:rsidRDefault="00B34188" w:rsidP="00AC2FE9">
      <w:pPr>
        <w:jc w:val="both"/>
      </w:pPr>
      <w:r>
        <w:t xml:space="preserve">En el cuadro </w:t>
      </w:r>
      <w:r w:rsidR="00995DFF">
        <w:t>número</w:t>
      </w:r>
      <w:r>
        <w:t xml:space="preserve"> 2</w:t>
      </w:r>
      <w:r w:rsidR="009A35AD">
        <w:t>,</w:t>
      </w:r>
      <w:r>
        <w:t xml:space="preserve"> se muestra</w:t>
      </w:r>
      <w:r w:rsidR="004B0171">
        <w:t xml:space="preserve"> lo</w:t>
      </w:r>
      <w:r w:rsidR="00995DFF">
        <w:t xml:space="preserve"> ejecutado y porcentaje de avance de </w:t>
      </w:r>
      <w:r w:rsidR="009A35AD">
        <w:t>cada actividad presupuestaria del subprograma 1</w:t>
      </w:r>
      <w:r w:rsidR="004B0171" w:rsidRPr="004B0171">
        <w:t>.</w:t>
      </w:r>
      <w:r w:rsidR="0007703B">
        <w:t xml:space="preserve"> </w:t>
      </w:r>
    </w:p>
    <w:p w:rsidR="005C1DE3" w:rsidRDefault="004B0171" w:rsidP="00AC2FE9">
      <w:pPr>
        <w:jc w:val="both"/>
        <w:rPr>
          <w:sz w:val="20"/>
        </w:rPr>
      </w:pPr>
      <w:r w:rsidRPr="0007703B">
        <w:rPr>
          <w:sz w:val="20"/>
        </w:rPr>
        <w:t>Cuadro 2. Avance financiero del subprograma 1</w:t>
      </w:r>
    </w:p>
    <w:p w:rsidR="005C1DE3" w:rsidRPr="005C1DE3" w:rsidRDefault="005C1DE3" w:rsidP="005C1DE3">
      <w:pPr>
        <w:rPr>
          <w:sz w:val="20"/>
        </w:rPr>
      </w:pPr>
      <w:r w:rsidRPr="0007703B">
        <w:rPr>
          <w:noProof/>
          <w:sz w:val="20"/>
          <w:lang w:eastAsia="es-GT"/>
        </w:rPr>
        <w:drawing>
          <wp:anchor distT="0" distB="0" distL="114300" distR="114300" simplePos="0" relativeHeight="251666432" behindDoc="0" locked="0" layoutInCell="1" allowOverlap="1" wp14:anchorId="104D4BED" wp14:editId="00667D9F">
            <wp:simplePos x="0" y="0"/>
            <wp:positionH relativeFrom="column">
              <wp:posOffset>824865</wp:posOffset>
            </wp:positionH>
            <wp:positionV relativeFrom="paragraph">
              <wp:posOffset>26670</wp:posOffset>
            </wp:positionV>
            <wp:extent cx="4521200" cy="25527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DE3" w:rsidRPr="005C1DE3" w:rsidRDefault="005C1DE3" w:rsidP="005C1DE3">
      <w:pPr>
        <w:rPr>
          <w:sz w:val="20"/>
        </w:rPr>
      </w:pPr>
    </w:p>
    <w:p w:rsidR="005C1DE3" w:rsidRPr="005C1DE3" w:rsidRDefault="005C1DE3" w:rsidP="005C1DE3">
      <w:pPr>
        <w:rPr>
          <w:sz w:val="20"/>
        </w:rPr>
      </w:pPr>
    </w:p>
    <w:p w:rsidR="005C1DE3" w:rsidRPr="005C1DE3" w:rsidRDefault="005C1DE3" w:rsidP="005C1DE3">
      <w:pPr>
        <w:rPr>
          <w:sz w:val="20"/>
        </w:rPr>
      </w:pPr>
    </w:p>
    <w:p w:rsidR="005C1DE3" w:rsidRPr="005C1DE3" w:rsidRDefault="005C1DE3" w:rsidP="005C1DE3">
      <w:pPr>
        <w:rPr>
          <w:sz w:val="20"/>
        </w:rPr>
      </w:pPr>
    </w:p>
    <w:p w:rsidR="005C1DE3" w:rsidRPr="005C1DE3" w:rsidRDefault="005C1DE3" w:rsidP="005C1DE3">
      <w:pPr>
        <w:rPr>
          <w:sz w:val="20"/>
        </w:rPr>
      </w:pPr>
    </w:p>
    <w:p w:rsidR="005C1DE3" w:rsidRPr="005C1DE3" w:rsidRDefault="005C1DE3" w:rsidP="005C1DE3">
      <w:pPr>
        <w:rPr>
          <w:sz w:val="20"/>
        </w:rPr>
      </w:pPr>
    </w:p>
    <w:p w:rsidR="004B0171" w:rsidRPr="005C1DE3" w:rsidRDefault="004B0171" w:rsidP="005C1DE3">
      <w:pPr>
        <w:rPr>
          <w:sz w:val="20"/>
        </w:rPr>
      </w:pPr>
    </w:p>
    <w:p w:rsidR="00041019" w:rsidRPr="0007703B" w:rsidRDefault="005C1DE3" w:rsidP="005C1DE3">
      <w:pPr>
        <w:ind w:left="1416"/>
        <w:jc w:val="both"/>
        <w:rPr>
          <w:sz w:val="18"/>
        </w:rPr>
      </w:pPr>
      <w:r>
        <w:rPr>
          <w:sz w:val="18"/>
        </w:rPr>
        <w:t>F    Fuente</w:t>
      </w:r>
      <w:r w:rsidR="009A35AD" w:rsidRPr="0007703B">
        <w:rPr>
          <w:sz w:val="18"/>
        </w:rPr>
        <w:t>: SICOIN, Elaboración SESAN</w:t>
      </w:r>
    </w:p>
    <w:p w:rsidR="00AF5253" w:rsidRDefault="009A35AD" w:rsidP="00B564CB">
      <w:pPr>
        <w:jc w:val="both"/>
      </w:pPr>
      <w:r>
        <w:lastRenderedPageBreak/>
        <w:t xml:space="preserve">El cuadro número dos, muestra la ejecución financiera de cada </w:t>
      </w:r>
      <w:r w:rsidR="00FB337A">
        <w:t xml:space="preserve">una de las </w:t>
      </w:r>
      <w:r>
        <w:t>actividad</w:t>
      </w:r>
      <w:r w:rsidR="00FB337A">
        <w:t xml:space="preserve">es </w:t>
      </w:r>
      <w:r>
        <w:t xml:space="preserve"> presupuestaria</w:t>
      </w:r>
      <w:r w:rsidR="00FB337A">
        <w:t>s</w:t>
      </w:r>
      <w:r>
        <w:t xml:space="preserve"> del subprograma 1</w:t>
      </w:r>
      <w:r w:rsidR="00AE2599">
        <w:t xml:space="preserve">, </w:t>
      </w:r>
      <w:r>
        <w:t xml:space="preserve"> </w:t>
      </w:r>
      <w:r w:rsidR="00AE2599" w:rsidRPr="00AE2599">
        <w:t xml:space="preserve">la actividad presupuestaria “Apoyo técnico en la implementación de la estrategia” </w:t>
      </w:r>
      <w:r w:rsidR="005F0233">
        <w:t xml:space="preserve">su porcentaje de ejecución </w:t>
      </w:r>
      <w:r w:rsidR="00AE2599" w:rsidRPr="00AE2599">
        <w:t xml:space="preserve">fue de </w:t>
      </w:r>
      <w:r w:rsidR="0007703B">
        <w:t>25.74</w:t>
      </w:r>
      <w:r w:rsidR="00AE2599" w:rsidRPr="00AE2599">
        <w:t xml:space="preserve">% y la actividad “Monitoreo de la Estrategia” </w:t>
      </w:r>
      <w:r w:rsidR="00A87F28">
        <w:t xml:space="preserve">no tuvo movimiento en este cuatrimestre, </w:t>
      </w:r>
      <w:r w:rsidR="00AE2599" w:rsidRPr="00AE2599">
        <w:t xml:space="preserve">asimismo el total </w:t>
      </w:r>
      <w:r w:rsidR="00057FCF">
        <w:t xml:space="preserve">general </w:t>
      </w:r>
      <w:r w:rsidR="00AE2599" w:rsidRPr="00AE2599">
        <w:t>de</w:t>
      </w:r>
      <w:r w:rsidR="00057FCF">
        <w:t xml:space="preserve"> la </w:t>
      </w:r>
      <w:r w:rsidR="00AE2599" w:rsidRPr="00AE2599">
        <w:t xml:space="preserve">ejecución financiera del subprograma 1 para el </w:t>
      </w:r>
      <w:r w:rsidR="0007703B">
        <w:t>segundo</w:t>
      </w:r>
      <w:r w:rsidR="00AE2599" w:rsidRPr="00AE2599">
        <w:t xml:space="preserve"> cuatrimestre fue de </w:t>
      </w:r>
      <w:r w:rsidR="0007703B">
        <w:t>18</w:t>
      </w:r>
      <w:r w:rsidR="00AE2599" w:rsidRPr="00AE2599">
        <w:t>%.</w:t>
      </w:r>
    </w:p>
    <w:p w:rsidR="00961AFE" w:rsidRDefault="003B4DA6" w:rsidP="003B4DA6">
      <w:pPr>
        <w:pStyle w:val="Ttulo1"/>
      </w:pPr>
      <w:bookmarkStart w:id="4" w:name="_Toc525136250"/>
      <w:r w:rsidRPr="003B4DA6">
        <w:t xml:space="preserve">Ejecución financiera </w:t>
      </w:r>
      <w:r>
        <w:t>acumulada al 31 de agosto 2018</w:t>
      </w:r>
      <w:r w:rsidRPr="003B4DA6">
        <w:t>.</w:t>
      </w:r>
      <w:bookmarkEnd w:id="4"/>
    </w:p>
    <w:p w:rsidR="003B4DA6" w:rsidRPr="003B4DA6" w:rsidRDefault="003B4DA6" w:rsidP="003B4DA6"/>
    <w:p w:rsidR="00AF5253" w:rsidRDefault="0007703B" w:rsidP="00AF5253">
      <w:pPr>
        <w:tabs>
          <w:tab w:val="left" w:pos="1005"/>
        </w:tabs>
      </w:pPr>
      <w:r>
        <w:t>Cuadro 3</w:t>
      </w:r>
      <w:r w:rsidRPr="0007703B">
        <w:t xml:space="preserve">. Avance financiero </w:t>
      </w:r>
      <w:r w:rsidR="00A87F28">
        <w:t xml:space="preserve">acumulado enero a agosto </w:t>
      </w:r>
      <w:r w:rsidRPr="0007703B">
        <w:t>del subprograma 1</w:t>
      </w:r>
    </w:p>
    <w:p w:rsidR="00AF5253" w:rsidRDefault="0007703B" w:rsidP="00AF5253">
      <w:pPr>
        <w:tabs>
          <w:tab w:val="left" w:pos="1005"/>
        </w:tabs>
      </w:pPr>
      <w:r w:rsidRPr="0007703B">
        <w:t xml:space="preserve">             </w:t>
      </w:r>
      <w:r w:rsidRPr="0007703B">
        <w:rPr>
          <w:noProof/>
          <w:lang w:eastAsia="es-GT"/>
        </w:rPr>
        <w:drawing>
          <wp:inline distT="0" distB="0" distL="0" distR="0" wp14:anchorId="78698751" wp14:editId="03792CFC">
            <wp:extent cx="5362575" cy="286797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482" cy="2868997"/>
                    </a:xfrm>
                    <a:prstGeom prst="rect">
                      <a:avLst/>
                    </a:prstGeom>
                    <a:noFill/>
                    <a:ln>
                      <a:noFill/>
                    </a:ln>
                  </pic:spPr>
                </pic:pic>
              </a:graphicData>
            </a:graphic>
          </wp:inline>
        </w:drawing>
      </w:r>
    </w:p>
    <w:p w:rsidR="009D79CC" w:rsidRDefault="0007703B" w:rsidP="00AF5253">
      <w:pPr>
        <w:tabs>
          <w:tab w:val="left" w:pos="1005"/>
        </w:tabs>
        <w:rPr>
          <w:sz w:val="18"/>
        </w:rPr>
      </w:pPr>
      <w:r w:rsidRPr="001D444B">
        <w:rPr>
          <w:sz w:val="18"/>
        </w:rPr>
        <w:t>Fuente: SICOIN, Elaboración SESAN</w:t>
      </w:r>
    </w:p>
    <w:p w:rsidR="001D444B" w:rsidRPr="001D444B" w:rsidRDefault="001D444B" w:rsidP="00AF5253">
      <w:pPr>
        <w:tabs>
          <w:tab w:val="left" w:pos="1005"/>
        </w:tabs>
        <w:rPr>
          <w:sz w:val="18"/>
        </w:rPr>
      </w:pPr>
    </w:p>
    <w:p w:rsidR="009D79CC" w:rsidRDefault="0007703B" w:rsidP="00AF5253">
      <w:pPr>
        <w:tabs>
          <w:tab w:val="left" w:pos="1005"/>
        </w:tabs>
      </w:pPr>
      <w:r>
        <w:t>De acuerdo con el cuadro numero 3 la ejecución financiera acumulada de enero a agost</w:t>
      </w:r>
      <w:r w:rsidR="00A87F28">
        <w:t xml:space="preserve">o de 2018 para el subprograma 1, </w:t>
      </w:r>
      <w:r>
        <w:t xml:space="preserve">es de un porcentaje de </w:t>
      </w:r>
      <w:r w:rsidR="00A87F28">
        <w:t xml:space="preserve">ejecución del  </w:t>
      </w:r>
      <w:r>
        <w:t xml:space="preserve">76% </w:t>
      </w:r>
    </w:p>
    <w:p w:rsidR="009D79CC" w:rsidRDefault="009D79CC" w:rsidP="00AF5253">
      <w:pPr>
        <w:tabs>
          <w:tab w:val="left" w:pos="1005"/>
        </w:tabs>
      </w:pPr>
    </w:p>
    <w:p w:rsidR="009D79CC" w:rsidRDefault="009D79CC" w:rsidP="00AF5253">
      <w:pPr>
        <w:tabs>
          <w:tab w:val="left" w:pos="1005"/>
        </w:tabs>
      </w:pPr>
    </w:p>
    <w:p w:rsidR="009D79CC" w:rsidRDefault="009D79CC" w:rsidP="00AF5253">
      <w:pPr>
        <w:tabs>
          <w:tab w:val="left" w:pos="1005"/>
        </w:tabs>
      </w:pPr>
    </w:p>
    <w:p w:rsidR="0007703B" w:rsidRDefault="0007703B" w:rsidP="00AF5253">
      <w:pPr>
        <w:tabs>
          <w:tab w:val="left" w:pos="1005"/>
        </w:tabs>
      </w:pPr>
    </w:p>
    <w:p w:rsidR="0007703B" w:rsidRDefault="0007703B" w:rsidP="00AF5253">
      <w:pPr>
        <w:tabs>
          <w:tab w:val="left" w:pos="1005"/>
        </w:tabs>
      </w:pPr>
    </w:p>
    <w:p w:rsidR="0007703B" w:rsidRDefault="0007703B" w:rsidP="00AF5253">
      <w:pPr>
        <w:tabs>
          <w:tab w:val="left" w:pos="1005"/>
        </w:tabs>
      </w:pPr>
    </w:p>
    <w:p w:rsidR="0007703B" w:rsidRDefault="0007703B" w:rsidP="00AF5253">
      <w:pPr>
        <w:tabs>
          <w:tab w:val="left" w:pos="1005"/>
        </w:tabs>
      </w:pPr>
    </w:p>
    <w:p w:rsidR="0007703B" w:rsidRDefault="0007703B" w:rsidP="00AF5253">
      <w:pPr>
        <w:tabs>
          <w:tab w:val="left" w:pos="1005"/>
        </w:tabs>
      </w:pPr>
    </w:p>
    <w:p w:rsidR="005C1DE3" w:rsidRDefault="005C1DE3" w:rsidP="00490D0C">
      <w:pPr>
        <w:pStyle w:val="Ttulo1"/>
      </w:pPr>
    </w:p>
    <w:p w:rsidR="009D79CC" w:rsidRPr="006164DA" w:rsidRDefault="009D79CC" w:rsidP="00490D0C">
      <w:pPr>
        <w:pStyle w:val="Ttulo1"/>
      </w:pPr>
      <w:bookmarkStart w:id="5" w:name="_Toc525136251"/>
      <w:r w:rsidRPr="006164DA">
        <w:t>Conclusiones</w:t>
      </w:r>
      <w:bookmarkEnd w:id="5"/>
      <w:r w:rsidRPr="006164DA">
        <w:t xml:space="preserve">  </w:t>
      </w:r>
    </w:p>
    <w:p w:rsidR="009D79CC" w:rsidRDefault="009D79CC" w:rsidP="009D79CC">
      <w:pPr>
        <w:tabs>
          <w:tab w:val="left" w:pos="1005"/>
        </w:tabs>
      </w:pPr>
    </w:p>
    <w:p w:rsidR="009D79CC" w:rsidRDefault="009D79CC" w:rsidP="009D79CC">
      <w:pPr>
        <w:pStyle w:val="Prrafodelista"/>
        <w:numPr>
          <w:ilvl w:val="0"/>
          <w:numId w:val="1"/>
        </w:numPr>
        <w:tabs>
          <w:tab w:val="left" w:pos="1005"/>
        </w:tabs>
        <w:jc w:val="both"/>
      </w:pPr>
      <w:r>
        <w:t xml:space="preserve">La ejecución de meta física </w:t>
      </w:r>
      <w:r w:rsidR="005C1DE3">
        <w:t xml:space="preserve"> programada</w:t>
      </w:r>
      <w:r>
        <w:t xml:space="preserve"> para el </w:t>
      </w:r>
      <w:r w:rsidR="005C1DE3">
        <w:t xml:space="preserve">segundo fue de </w:t>
      </w:r>
      <w:r>
        <w:t xml:space="preserve"> 100% cumpliendo con lo programado</w:t>
      </w:r>
      <w:r w:rsidR="00F93D15">
        <w:t xml:space="preserve"> al segundo cuatrimestre</w:t>
      </w:r>
      <w:r>
        <w:t xml:space="preserve">.  </w:t>
      </w:r>
    </w:p>
    <w:p w:rsidR="009D79CC" w:rsidRDefault="009D79CC" w:rsidP="009D79CC">
      <w:pPr>
        <w:pStyle w:val="Prrafodelista"/>
        <w:tabs>
          <w:tab w:val="left" w:pos="1005"/>
        </w:tabs>
        <w:jc w:val="both"/>
      </w:pPr>
    </w:p>
    <w:p w:rsidR="009D79CC" w:rsidRPr="00AF5253" w:rsidRDefault="005C1DE3" w:rsidP="009D79CC">
      <w:pPr>
        <w:pStyle w:val="Prrafodelista"/>
        <w:numPr>
          <w:ilvl w:val="0"/>
          <w:numId w:val="1"/>
        </w:numPr>
        <w:tabs>
          <w:tab w:val="left" w:pos="1005"/>
        </w:tabs>
        <w:jc w:val="both"/>
      </w:pPr>
      <w:r>
        <w:t>La Ejecución financiera,</w:t>
      </w:r>
      <w:r w:rsidR="009D79CC">
        <w:t xml:space="preserve"> para el </w:t>
      </w:r>
      <w:r w:rsidR="00A87F28">
        <w:t xml:space="preserve">segundo </w:t>
      </w:r>
      <w:r w:rsidR="009D79CC">
        <w:t xml:space="preserve">cuatrimestre </w:t>
      </w:r>
      <w:r w:rsidR="00C51415">
        <w:t xml:space="preserve">fue de </w:t>
      </w:r>
      <w:r w:rsidR="00A87F28">
        <w:t xml:space="preserve">18% y total acumulado de 76% de ejecución. </w:t>
      </w:r>
    </w:p>
    <w:sectPr w:rsidR="009D79CC" w:rsidRPr="00AF5253" w:rsidSect="0007703B">
      <w:headerReference w:type="default" r:id="rId12"/>
      <w:footerReference w:type="default" r:id="rId13"/>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DE" w:rsidRDefault="00FD70DE" w:rsidP="00631986">
      <w:pPr>
        <w:spacing w:after="0" w:line="240" w:lineRule="auto"/>
      </w:pPr>
      <w:r>
        <w:separator/>
      </w:r>
    </w:p>
  </w:endnote>
  <w:endnote w:type="continuationSeparator" w:id="0">
    <w:p w:rsidR="00FD70DE" w:rsidRDefault="00FD70DE" w:rsidP="0063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86" w:rsidRDefault="0063198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4636B9" w:rsidRPr="004636B9">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31986" w:rsidRDefault="00631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DE" w:rsidRDefault="00FD70DE" w:rsidP="00631986">
      <w:pPr>
        <w:spacing w:after="0" w:line="240" w:lineRule="auto"/>
      </w:pPr>
      <w:r>
        <w:separator/>
      </w:r>
    </w:p>
  </w:footnote>
  <w:footnote w:type="continuationSeparator" w:id="0">
    <w:p w:rsidR="00FD70DE" w:rsidRDefault="00FD70DE" w:rsidP="0063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494168" w:rsidRDefault="0049416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ES"/>
          </w:rPr>
          <w:t>Secretaría de Seguridad Alimentaria y Nutricional –SESAN-</w:t>
        </w:r>
      </w:p>
    </w:sdtContent>
  </w:sdt>
  <w:p w:rsidR="00631986" w:rsidRDefault="006319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53ED2"/>
    <w:multiLevelType w:val="hybridMultilevel"/>
    <w:tmpl w:val="5924352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A2"/>
    <w:rsid w:val="000209A8"/>
    <w:rsid w:val="00037640"/>
    <w:rsid w:val="00041019"/>
    <w:rsid w:val="000417BA"/>
    <w:rsid w:val="00045F16"/>
    <w:rsid w:val="000529D9"/>
    <w:rsid w:val="00057FCF"/>
    <w:rsid w:val="00064ECC"/>
    <w:rsid w:val="000712BE"/>
    <w:rsid w:val="0007703B"/>
    <w:rsid w:val="0008360E"/>
    <w:rsid w:val="000A65D6"/>
    <w:rsid w:val="000A7F7A"/>
    <w:rsid w:val="000E2C5D"/>
    <w:rsid w:val="000E30FC"/>
    <w:rsid w:val="000F4ECC"/>
    <w:rsid w:val="000F787D"/>
    <w:rsid w:val="00117463"/>
    <w:rsid w:val="00124332"/>
    <w:rsid w:val="0016242D"/>
    <w:rsid w:val="00173DD0"/>
    <w:rsid w:val="00182DB6"/>
    <w:rsid w:val="00183BBF"/>
    <w:rsid w:val="001A2B1C"/>
    <w:rsid w:val="001C739B"/>
    <w:rsid w:val="001D444B"/>
    <w:rsid w:val="001F065F"/>
    <w:rsid w:val="001F78B3"/>
    <w:rsid w:val="002561A7"/>
    <w:rsid w:val="002616B3"/>
    <w:rsid w:val="00266908"/>
    <w:rsid w:val="00266BCF"/>
    <w:rsid w:val="002723AD"/>
    <w:rsid w:val="002728DC"/>
    <w:rsid w:val="002B785F"/>
    <w:rsid w:val="002C21A0"/>
    <w:rsid w:val="002C51D9"/>
    <w:rsid w:val="002D556F"/>
    <w:rsid w:val="002D5B60"/>
    <w:rsid w:val="003464E7"/>
    <w:rsid w:val="00371048"/>
    <w:rsid w:val="00396F37"/>
    <w:rsid w:val="003B4DA6"/>
    <w:rsid w:val="003C0A89"/>
    <w:rsid w:val="003C0B01"/>
    <w:rsid w:val="003E1450"/>
    <w:rsid w:val="003E2CBF"/>
    <w:rsid w:val="004061DB"/>
    <w:rsid w:val="004636B9"/>
    <w:rsid w:val="00475585"/>
    <w:rsid w:val="00490D0C"/>
    <w:rsid w:val="00494168"/>
    <w:rsid w:val="004A08DC"/>
    <w:rsid w:val="004A27DE"/>
    <w:rsid w:val="004B0171"/>
    <w:rsid w:val="004B2218"/>
    <w:rsid w:val="004B6A0E"/>
    <w:rsid w:val="005009C4"/>
    <w:rsid w:val="0051700D"/>
    <w:rsid w:val="00517DC4"/>
    <w:rsid w:val="0052589D"/>
    <w:rsid w:val="005344F9"/>
    <w:rsid w:val="0053786D"/>
    <w:rsid w:val="00553E81"/>
    <w:rsid w:val="00565B6D"/>
    <w:rsid w:val="005716AF"/>
    <w:rsid w:val="00581C3C"/>
    <w:rsid w:val="0058408A"/>
    <w:rsid w:val="005902F9"/>
    <w:rsid w:val="00596B27"/>
    <w:rsid w:val="00597D92"/>
    <w:rsid w:val="005A2FDB"/>
    <w:rsid w:val="005C1DE3"/>
    <w:rsid w:val="005C225D"/>
    <w:rsid w:val="005D09FD"/>
    <w:rsid w:val="005D2904"/>
    <w:rsid w:val="005F0233"/>
    <w:rsid w:val="006164DA"/>
    <w:rsid w:val="00631986"/>
    <w:rsid w:val="00634D13"/>
    <w:rsid w:val="00635637"/>
    <w:rsid w:val="00647B08"/>
    <w:rsid w:val="00647C55"/>
    <w:rsid w:val="00653A6A"/>
    <w:rsid w:val="00655DD1"/>
    <w:rsid w:val="006750AC"/>
    <w:rsid w:val="00676FAE"/>
    <w:rsid w:val="00692E4B"/>
    <w:rsid w:val="006A2D4D"/>
    <w:rsid w:val="006B2B7D"/>
    <w:rsid w:val="006C2B32"/>
    <w:rsid w:val="006E1873"/>
    <w:rsid w:val="006E4CE7"/>
    <w:rsid w:val="006E6759"/>
    <w:rsid w:val="006F5C62"/>
    <w:rsid w:val="00704C45"/>
    <w:rsid w:val="00732590"/>
    <w:rsid w:val="00734809"/>
    <w:rsid w:val="00740D70"/>
    <w:rsid w:val="007446E9"/>
    <w:rsid w:val="00754792"/>
    <w:rsid w:val="00764EFB"/>
    <w:rsid w:val="00783E46"/>
    <w:rsid w:val="007969BE"/>
    <w:rsid w:val="007A0EEE"/>
    <w:rsid w:val="007A7E52"/>
    <w:rsid w:val="007C6D80"/>
    <w:rsid w:val="007E2147"/>
    <w:rsid w:val="007E566A"/>
    <w:rsid w:val="00800FAE"/>
    <w:rsid w:val="008035AA"/>
    <w:rsid w:val="00803B40"/>
    <w:rsid w:val="00825911"/>
    <w:rsid w:val="008358B8"/>
    <w:rsid w:val="00840845"/>
    <w:rsid w:val="008612DC"/>
    <w:rsid w:val="0086253A"/>
    <w:rsid w:val="0086695E"/>
    <w:rsid w:val="00890516"/>
    <w:rsid w:val="00891D27"/>
    <w:rsid w:val="008959E1"/>
    <w:rsid w:val="008A1F89"/>
    <w:rsid w:val="008B7EC1"/>
    <w:rsid w:val="008C0E68"/>
    <w:rsid w:val="008C4820"/>
    <w:rsid w:val="008D35DC"/>
    <w:rsid w:val="008F093D"/>
    <w:rsid w:val="008F5385"/>
    <w:rsid w:val="009023FA"/>
    <w:rsid w:val="009121AC"/>
    <w:rsid w:val="00913F5D"/>
    <w:rsid w:val="00916828"/>
    <w:rsid w:val="00921FCD"/>
    <w:rsid w:val="00946066"/>
    <w:rsid w:val="00961AFE"/>
    <w:rsid w:val="00970519"/>
    <w:rsid w:val="009855A8"/>
    <w:rsid w:val="00995DFF"/>
    <w:rsid w:val="009A35AD"/>
    <w:rsid w:val="009C1001"/>
    <w:rsid w:val="009D04C5"/>
    <w:rsid w:val="009D453D"/>
    <w:rsid w:val="009D79CC"/>
    <w:rsid w:val="009D7B5D"/>
    <w:rsid w:val="009E548D"/>
    <w:rsid w:val="009F5D57"/>
    <w:rsid w:val="009F73C1"/>
    <w:rsid w:val="00A03721"/>
    <w:rsid w:val="00A2577F"/>
    <w:rsid w:val="00A41DF8"/>
    <w:rsid w:val="00A4648B"/>
    <w:rsid w:val="00A52C2B"/>
    <w:rsid w:val="00A605E5"/>
    <w:rsid w:val="00A705B8"/>
    <w:rsid w:val="00A74E4B"/>
    <w:rsid w:val="00A765CF"/>
    <w:rsid w:val="00A87F28"/>
    <w:rsid w:val="00AA02A2"/>
    <w:rsid w:val="00AB5825"/>
    <w:rsid w:val="00AC22F9"/>
    <w:rsid w:val="00AC2F06"/>
    <w:rsid w:val="00AC2FE9"/>
    <w:rsid w:val="00AD72A6"/>
    <w:rsid w:val="00AD74C1"/>
    <w:rsid w:val="00AE2599"/>
    <w:rsid w:val="00AE4912"/>
    <w:rsid w:val="00AE7570"/>
    <w:rsid w:val="00AF4CB7"/>
    <w:rsid w:val="00AF5253"/>
    <w:rsid w:val="00B00A6A"/>
    <w:rsid w:val="00B04FCC"/>
    <w:rsid w:val="00B248F4"/>
    <w:rsid w:val="00B311D1"/>
    <w:rsid w:val="00B317C8"/>
    <w:rsid w:val="00B34188"/>
    <w:rsid w:val="00B34F8F"/>
    <w:rsid w:val="00B564CB"/>
    <w:rsid w:val="00B61AEC"/>
    <w:rsid w:val="00B6436E"/>
    <w:rsid w:val="00B6561B"/>
    <w:rsid w:val="00B81F1B"/>
    <w:rsid w:val="00B917F6"/>
    <w:rsid w:val="00BA176B"/>
    <w:rsid w:val="00BB459F"/>
    <w:rsid w:val="00BC0EC3"/>
    <w:rsid w:val="00BC2BA5"/>
    <w:rsid w:val="00BC4752"/>
    <w:rsid w:val="00BE46A1"/>
    <w:rsid w:val="00C20AAD"/>
    <w:rsid w:val="00C51415"/>
    <w:rsid w:val="00C60CA3"/>
    <w:rsid w:val="00C61E4B"/>
    <w:rsid w:val="00C62A67"/>
    <w:rsid w:val="00C711CF"/>
    <w:rsid w:val="00C87DB5"/>
    <w:rsid w:val="00C91E47"/>
    <w:rsid w:val="00CC217A"/>
    <w:rsid w:val="00CD28C3"/>
    <w:rsid w:val="00CE4BE0"/>
    <w:rsid w:val="00CE57F2"/>
    <w:rsid w:val="00CE739F"/>
    <w:rsid w:val="00CF41FC"/>
    <w:rsid w:val="00D029C7"/>
    <w:rsid w:val="00D14557"/>
    <w:rsid w:val="00D168D0"/>
    <w:rsid w:val="00D259B6"/>
    <w:rsid w:val="00D360E4"/>
    <w:rsid w:val="00D53C6E"/>
    <w:rsid w:val="00D637A9"/>
    <w:rsid w:val="00D704D5"/>
    <w:rsid w:val="00D86B45"/>
    <w:rsid w:val="00D95721"/>
    <w:rsid w:val="00D95AFA"/>
    <w:rsid w:val="00D96831"/>
    <w:rsid w:val="00DB4E56"/>
    <w:rsid w:val="00DC5AA6"/>
    <w:rsid w:val="00DD6477"/>
    <w:rsid w:val="00DE32B2"/>
    <w:rsid w:val="00DF2402"/>
    <w:rsid w:val="00DF2544"/>
    <w:rsid w:val="00E13451"/>
    <w:rsid w:val="00E2624D"/>
    <w:rsid w:val="00E3083C"/>
    <w:rsid w:val="00E3151A"/>
    <w:rsid w:val="00E34C08"/>
    <w:rsid w:val="00E427E6"/>
    <w:rsid w:val="00E436EB"/>
    <w:rsid w:val="00E47DA8"/>
    <w:rsid w:val="00E761CB"/>
    <w:rsid w:val="00E81F72"/>
    <w:rsid w:val="00E822BD"/>
    <w:rsid w:val="00E91CF8"/>
    <w:rsid w:val="00E95ADA"/>
    <w:rsid w:val="00E975D8"/>
    <w:rsid w:val="00EA0187"/>
    <w:rsid w:val="00EA61DF"/>
    <w:rsid w:val="00EB01CC"/>
    <w:rsid w:val="00EC2001"/>
    <w:rsid w:val="00ED6242"/>
    <w:rsid w:val="00F022BB"/>
    <w:rsid w:val="00F04824"/>
    <w:rsid w:val="00F21CE8"/>
    <w:rsid w:val="00F26251"/>
    <w:rsid w:val="00F443F5"/>
    <w:rsid w:val="00F455B6"/>
    <w:rsid w:val="00F466D9"/>
    <w:rsid w:val="00F52E43"/>
    <w:rsid w:val="00F57C4C"/>
    <w:rsid w:val="00F62D18"/>
    <w:rsid w:val="00F7559C"/>
    <w:rsid w:val="00F76C40"/>
    <w:rsid w:val="00F93D15"/>
    <w:rsid w:val="00F959C4"/>
    <w:rsid w:val="00FB337A"/>
    <w:rsid w:val="00FD70DE"/>
    <w:rsid w:val="00FF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AE7CC-A4E0-42B6-A4DE-56ACB503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16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A7"/>
    <w:rPr>
      <w:rFonts w:ascii="Tahoma" w:hAnsi="Tahoma" w:cs="Tahoma"/>
      <w:sz w:val="16"/>
      <w:szCs w:val="16"/>
    </w:rPr>
  </w:style>
  <w:style w:type="paragraph" w:styleId="Encabezado">
    <w:name w:val="header"/>
    <w:basedOn w:val="Normal"/>
    <w:link w:val="EncabezadoCar"/>
    <w:uiPriority w:val="99"/>
    <w:unhideWhenUsed/>
    <w:rsid w:val="006319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1986"/>
  </w:style>
  <w:style w:type="paragraph" w:styleId="Piedepgina">
    <w:name w:val="footer"/>
    <w:basedOn w:val="Normal"/>
    <w:link w:val="PiedepginaCar"/>
    <w:uiPriority w:val="99"/>
    <w:unhideWhenUsed/>
    <w:rsid w:val="006319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1986"/>
  </w:style>
  <w:style w:type="paragraph" w:styleId="Prrafodelista">
    <w:name w:val="List Paragraph"/>
    <w:basedOn w:val="Normal"/>
    <w:uiPriority w:val="34"/>
    <w:qFormat/>
    <w:rsid w:val="009D79CC"/>
    <w:pPr>
      <w:ind w:left="720"/>
      <w:contextualSpacing/>
    </w:pPr>
  </w:style>
  <w:style w:type="character" w:customStyle="1" w:styleId="Ttulo1Car">
    <w:name w:val="Título 1 Car"/>
    <w:basedOn w:val="Fuentedeprrafopredeter"/>
    <w:link w:val="Ttulo1"/>
    <w:uiPriority w:val="9"/>
    <w:rsid w:val="006164D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94168"/>
    <w:pPr>
      <w:outlineLvl w:val="9"/>
    </w:pPr>
    <w:rPr>
      <w:lang w:eastAsia="es-GT"/>
    </w:rPr>
  </w:style>
  <w:style w:type="paragraph" w:styleId="TDC1">
    <w:name w:val="toc 1"/>
    <w:basedOn w:val="Normal"/>
    <w:next w:val="Normal"/>
    <w:autoRedefine/>
    <w:uiPriority w:val="39"/>
    <w:unhideWhenUsed/>
    <w:rsid w:val="00494168"/>
    <w:pPr>
      <w:spacing w:after="100"/>
    </w:pPr>
  </w:style>
  <w:style w:type="character" w:styleId="Hipervnculo">
    <w:name w:val="Hyperlink"/>
    <w:basedOn w:val="Fuentedeprrafopredeter"/>
    <w:uiPriority w:val="99"/>
    <w:unhideWhenUsed/>
    <w:rsid w:val="00494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5649">
      <w:bodyDiv w:val="1"/>
      <w:marLeft w:val="0"/>
      <w:marRight w:val="0"/>
      <w:marTop w:val="0"/>
      <w:marBottom w:val="0"/>
      <w:divBdr>
        <w:top w:val="none" w:sz="0" w:space="0" w:color="auto"/>
        <w:left w:val="none" w:sz="0" w:space="0" w:color="auto"/>
        <w:bottom w:val="none" w:sz="0" w:space="0" w:color="auto"/>
        <w:right w:val="none" w:sz="0" w:space="0" w:color="auto"/>
      </w:divBdr>
    </w:div>
    <w:div w:id="7508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0F428-30BB-4443-B8DB-B97D6F65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Secretaría de Seguridad Alimentaria y Nutricional –SESAN-</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Seguridad Alimentaria y Nutricional –SESAN-</dc:title>
  <dc:creator>Rut Martinez</dc:creator>
  <cp:lastModifiedBy>Mirian Lorena Velásquez Jerónimo</cp:lastModifiedBy>
  <cp:revision>2</cp:revision>
  <cp:lastPrinted>2018-06-15T16:41:00Z</cp:lastPrinted>
  <dcterms:created xsi:type="dcterms:W3CDTF">2018-10-29T16:01:00Z</dcterms:created>
  <dcterms:modified xsi:type="dcterms:W3CDTF">2018-10-29T16:01:00Z</dcterms:modified>
</cp:coreProperties>
</file>